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41D5C" w14:textId="77777777" w:rsidR="0067224F" w:rsidRDefault="0067224F">
      <w:pPr>
        <w:spacing w:after="0" w:line="240" w:lineRule="auto"/>
        <w:rPr>
          <w:rFonts w:ascii="Arial" w:eastAsia="Arial" w:hAnsi="Arial" w:cs="Arial"/>
          <w:b/>
          <w:sz w:val="36"/>
          <w:szCs w:val="36"/>
        </w:rPr>
      </w:pPr>
    </w:p>
    <w:p w14:paraId="12D721C6" w14:textId="77777777" w:rsidR="0067224F" w:rsidRDefault="00067D49">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Schedule 30 (Exit Management)</w:t>
      </w:r>
    </w:p>
    <w:p w14:paraId="62376A1E" w14:textId="77777777" w:rsidR="0067224F"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Definitions</w:t>
      </w:r>
    </w:p>
    <w:p w14:paraId="02EEDBCA" w14:textId="77777777"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Schedule 1 (Definitions):</w:t>
      </w:r>
    </w:p>
    <w:tbl>
      <w:tblPr>
        <w:tblStyle w:val="a"/>
        <w:tblW w:w="7988" w:type="dxa"/>
        <w:tblInd w:w="1008" w:type="dxa"/>
        <w:tblLayout w:type="fixed"/>
        <w:tblLook w:val="0000" w:firstRow="0" w:lastRow="0" w:firstColumn="0" w:lastColumn="0" w:noHBand="0" w:noVBand="0"/>
      </w:tblPr>
      <w:tblGrid>
        <w:gridCol w:w="3060"/>
        <w:gridCol w:w="4928"/>
      </w:tblGrid>
      <w:tr w:rsidR="0067224F" w14:paraId="53AEA322" w14:textId="77777777">
        <w:tc>
          <w:tcPr>
            <w:tcW w:w="3060" w:type="dxa"/>
          </w:tcPr>
          <w:p w14:paraId="20729486" w14:textId="77777777"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14:paraId="66B89EBD" w14:textId="77777777"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Supplier Assets used exclusively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in the provision of the Deliverables;</w:t>
            </w:r>
          </w:p>
        </w:tc>
      </w:tr>
      <w:tr w:rsidR="0067224F" w14:paraId="76B7A530" w14:textId="77777777">
        <w:tc>
          <w:tcPr>
            <w:tcW w:w="3060" w:type="dxa"/>
          </w:tcPr>
          <w:p w14:paraId="6DB52D76" w14:textId="77777777"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14:paraId="5A9DE71A" w14:textId="77777777"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67224F" w14:paraId="0AB8090F" w14:textId="77777777">
        <w:tc>
          <w:tcPr>
            <w:tcW w:w="3060" w:type="dxa"/>
          </w:tcPr>
          <w:p w14:paraId="7E490CFB" w14:textId="77777777"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14:paraId="538404C6" w14:textId="77777777"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67224F" w14:paraId="0115EDD1" w14:textId="77777777">
        <w:tc>
          <w:tcPr>
            <w:tcW w:w="3060" w:type="dxa"/>
          </w:tcPr>
          <w:p w14:paraId="514031DB" w14:textId="77777777"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14:paraId="26C57B3F" w14:textId="77777777"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Tender (if stated) or (if not stated) the depreciation policy of the Supplier (which the Supplier shall ensure is in accordance with Good Industry Practice);</w:t>
            </w:r>
          </w:p>
        </w:tc>
      </w:tr>
      <w:tr w:rsidR="0067224F" w14:paraId="069CA776" w14:textId="77777777">
        <w:tc>
          <w:tcPr>
            <w:tcW w:w="3060" w:type="dxa"/>
          </w:tcPr>
          <w:p w14:paraId="41511ACE" w14:textId="77777777"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14:paraId="5F7E2D4C" w14:textId="77777777"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those Supplier Assets used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xml:space="preserve">] in connection with the Deliverables but which are also used by the Supplier </w:t>
            </w:r>
            <w:r>
              <w:rPr>
                <w:rFonts w:ascii="Arial" w:eastAsia="Arial" w:hAnsi="Arial" w:cs="Arial"/>
                <w:color w:val="000000"/>
                <w:sz w:val="24"/>
                <w:szCs w:val="24"/>
                <w:highlight w:val="yellow"/>
              </w:rPr>
              <w:t>[or Key Subcontractor]</w:t>
            </w:r>
            <w:r>
              <w:rPr>
                <w:rFonts w:ascii="Arial" w:eastAsia="Arial" w:hAnsi="Arial" w:cs="Arial"/>
                <w:color w:val="000000"/>
                <w:sz w:val="24"/>
                <w:szCs w:val="24"/>
              </w:rPr>
              <w:t xml:space="preserve"> for other purposes;</w:t>
            </w:r>
          </w:p>
        </w:tc>
      </w:tr>
      <w:tr w:rsidR="0067224F" w14:paraId="1E3A21E0" w14:textId="77777777">
        <w:tc>
          <w:tcPr>
            <w:tcW w:w="3060" w:type="dxa"/>
          </w:tcPr>
          <w:p w14:paraId="42D10E18" w14:textId="77777777"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14:paraId="69167958" w14:textId="77777777"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register and configuration database referred to in Paragraph 2.2 of this Schedule; </w:t>
            </w:r>
          </w:p>
        </w:tc>
      </w:tr>
      <w:tr w:rsidR="0067224F" w14:paraId="7C808C89" w14:textId="77777777">
        <w:tc>
          <w:tcPr>
            <w:tcW w:w="3060" w:type="dxa"/>
          </w:tcPr>
          <w:p w14:paraId="37326059" w14:textId="77777777"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14:paraId="22A7053C" w14:textId="77777777"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7224F" w14:paraId="1602429F" w14:textId="77777777">
        <w:tc>
          <w:tcPr>
            <w:tcW w:w="3060" w:type="dxa"/>
          </w:tcPr>
          <w:p w14:paraId="6A9C5762" w14:textId="77777777"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"Replacement Services"</w:t>
            </w:r>
          </w:p>
        </w:tc>
        <w:tc>
          <w:tcPr>
            <w:tcW w:w="4928" w:type="dxa"/>
          </w:tcPr>
          <w:p w14:paraId="0AD12EEF" w14:textId="77777777"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7224F" w14:paraId="19524D9D" w14:textId="77777777">
        <w:tc>
          <w:tcPr>
            <w:tcW w:w="3060" w:type="dxa"/>
          </w:tcPr>
          <w:p w14:paraId="6FC27F49" w14:textId="77777777"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bookmarkStart w:id="0" w:name="_heading=h.gjdgxs" w:colFirst="0" w:colLast="0"/>
            <w:bookmarkEnd w:id="0"/>
            <w:r>
              <w:rPr>
                <w:rFonts w:ascii="Arial" w:eastAsia="Arial" w:hAnsi="Arial" w:cs="Arial"/>
                <w:b/>
                <w:color w:val="000000"/>
                <w:sz w:val="24"/>
                <w:szCs w:val="24"/>
              </w:rPr>
              <w:t>"Termination Assistance"</w:t>
            </w:r>
          </w:p>
        </w:tc>
        <w:tc>
          <w:tcPr>
            <w:tcW w:w="4928" w:type="dxa"/>
          </w:tcPr>
          <w:p w14:paraId="139A1633" w14:textId="77777777"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activities to be performed by the Supplier pursuant to the Exit Plan, and other assistance required by the Buyer </w:t>
            </w:r>
            <w:r>
              <w:rPr>
                <w:rFonts w:ascii="Arial" w:eastAsia="Arial" w:hAnsi="Arial" w:cs="Arial"/>
                <w:color w:val="000000"/>
                <w:sz w:val="24"/>
                <w:szCs w:val="24"/>
              </w:rPr>
              <w:lastRenderedPageBreak/>
              <w:t>pursuant to the Termination Assistance Notice;</w:t>
            </w:r>
          </w:p>
        </w:tc>
      </w:tr>
      <w:tr w:rsidR="0067224F" w14:paraId="25699AE9" w14:textId="77777777">
        <w:tc>
          <w:tcPr>
            <w:tcW w:w="3060" w:type="dxa"/>
          </w:tcPr>
          <w:p w14:paraId="05784486" w14:textId="77777777"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"Termination Assistance Notice"</w:t>
            </w:r>
          </w:p>
        </w:tc>
        <w:tc>
          <w:tcPr>
            <w:tcW w:w="4928" w:type="dxa"/>
          </w:tcPr>
          <w:p w14:paraId="71E97CE7" w14:textId="77777777"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67224F" w14:paraId="2C2F2D0C" w14:textId="77777777">
        <w:tc>
          <w:tcPr>
            <w:tcW w:w="3060" w:type="dxa"/>
          </w:tcPr>
          <w:p w14:paraId="5F68B32F" w14:textId="77777777" w:rsidR="0067224F" w:rsidRDefault="00067D49">
            <w:pPr>
              <w:keepNext/>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14:paraId="4EAF0A69" w14:textId="77777777"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67224F" w14:paraId="2A0475EB" w14:textId="77777777">
        <w:tc>
          <w:tcPr>
            <w:tcW w:w="3060" w:type="dxa"/>
          </w:tcPr>
          <w:p w14:paraId="28DFE31A" w14:textId="77777777"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14:paraId="301829B3" w14:textId="77777777"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67224F" w14:paraId="0E02A94F" w14:textId="77777777">
        <w:tc>
          <w:tcPr>
            <w:tcW w:w="3060" w:type="dxa"/>
          </w:tcPr>
          <w:p w14:paraId="082C9390" w14:textId="77777777"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14:paraId="3125B0F6" w14:textId="77777777"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7224F" w14:paraId="57E3AD50" w14:textId="77777777">
        <w:tc>
          <w:tcPr>
            <w:tcW w:w="3060" w:type="dxa"/>
          </w:tcPr>
          <w:p w14:paraId="1725EA4F" w14:textId="77777777"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14:paraId="249A8B6D" w14:textId="77777777"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67224F" w14:paraId="42BE70BF" w14:textId="77777777">
        <w:tc>
          <w:tcPr>
            <w:tcW w:w="3060" w:type="dxa"/>
          </w:tcPr>
          <w:p w14:paraId="547CB24C" w14:textId="77777777"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14:paraId="4ED0FE73" w14:textId="77777777"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8.2.3 of this Schedule.</w:t>
            </w:r>
          </w:p>
        </w:tc>
      </w:tr>
    </w:tbl>
    <w:p w14:paraId="1EF8299A" w14:textId="77777777" w:rsidR="0067224F"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Supplier must always be prepared for contract exit </w:t>
      </w:r>
    </w:p>
    <w:p w14:paraId="3160C719"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14:paraId="68C2CEDD" w14:textId="77777777"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During the Contract Period, the Supplier shall promptly:</w:t>
      </w:r>
    </w:p>
    <w:p w14:paraId="1486EAC0"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14:paraId="16E881E6"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 xml:space="preserve">create and maintain a configuration database detailing the technical infrastructure and operating procedures through which the Supplier provides the Deliverables </w:t>
      </w:r>
    </w:p>
    <w:p w14:paraId="70CC063B" w14:textId="77777777" w:rsidR="0067224F" w:rsidRDefault="00067D49">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14:paraId="5E17EFAE" w14:textId="77777777"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14:paraId="5752D5EE"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14:paraId="1FE5DEA2"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lastRenderedPageBreak/>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14:paraId="509AB827"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6" w:name="_heading=h.3dy6vkm" w:colFirst="0" w:colLast="0"/>
      <w:bookmarkEnd w:id="6"/>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14:paraId="5A979F0F" w14:textId="77777777" w:rsidR="0067224F"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Assisting re-competition for Deliverables </w:t>
      </w:r>
    </w:p>
    <w:p w14:paraId="05BDFC10"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14:paraId="647B9DB8"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14:paraId="755E869D"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465F2F05"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4C9BA191" w14:textId="77777777" w:rsidR="0067224F"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Exit Plan</w:t>
      </w:r>
    </w:p>
    <w:p w14:paraId="09920DD9"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The Supplier shall, within three (3) Months after the Start Date, deliver to the Buyer an Exit Plan which complies with the requirements set out in Paragraph 4.3 of this Schedule and is otherwise reasonably satisfactory to the Buyer.</w:t>
      </w:r>
    </w:p>
    <w:p w14:paraId="4329ECF6"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17dp8vu" w:colFirst="0" w:colLast="0"/>
      <w:bookmarkEnd w:id="10"/>
      <w:r>
        <w:rPr>
          <w:rFonts w:ascii="Arial" w:eastAsia="Arial" w:hAnsi="Arial" w:cs="Arial"/>
          <w:color w:val="000000"/>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14:paraId="3A747CDF" w14:textId="77777777"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3rdcrjn" w:colFirst="0" w:colLast="0"/>
      <w:bookmarkEnd w:id="11"/>
      <w:r>
        <w:rPr>
          <w:rFonts w:ascii="Arial" w:eastAsia="Arial" w:hAnsi="Arial" w:cs="Arial"/>
          <w:color w:val="000000"/>
          <w:sz w:val="24"/>
          <w:szCs w:val="24"/>
        </w:rPr>
        <w:lastRenderedPageBreak/>
        <w:t>The Exit Plan shall set out, as a minimum:</w:t>
      </w:r>
    </w:p>
    <w:p w14:paraId="21E7593F"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14:paraId="43577E62"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Deliverables will transfer to the Replacement Supplier and/or the Buyer;</w:t>
      </w:r>
    </w:p>
    <w:p w14:paraId="0E984DCC"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contracts which will be available for transfer to the Buyer and/or the Replacement Supplier upon the Expiry Date together with any reasonable costs required to effect such transfer;</w:t>
      </w:r>
    </w:p>
    <w:p w14:paraId="03ED3692"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Replacement Supplier’s staff in connection with the continuation of the provision of the Deliverables following the Expiry Date;</w:t>
      </w:r>
    </w:p>
    <w:p w14:paraId="3E534001"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providing the Buyer or a Replacement Supplier copies of all documentation relating to the use and operation of the Deliverables and required for their continued use; </w:t>
      </w:r>
    </w:p>
    <w:p w14:paraId="1ACB2C59"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14:paraId="7F711ED5"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identification and return of all Buyer Property in the possession of and/or control of the Supplier or any third party;</w:t>
      </w:r>
    </w:p>
    <w:p w14:paraId="31B8BCAD"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14:paraId="172B16E3"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Assistance Period; and</w:t>
      </w:r>
    </w:p>
    <w:p w14:paraId="6B19B45D"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other information or assistance reasonably required by the Buyer or a Replacement Supplier.</w:t>
      </w:r>
    </w:p>
    <w:p w14:paraId="542952F0" w14:textId="77777777"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2" w:name="_heading=h.26in1rg" w:colFirst="0" w:colLast="0"/>
      <w:bookmarkEnd w:id="12"/>
      <w:r>
        <w:rPr>
          <w:rFonts w:ascii="Arial" w:eastAsia="Arial" w:hAnsi="Arial" w:cs="Arial"/>
          <w:color w:val="000000"/>
          <w:sz w:val="24"/>
          <w:szCs w:val="24"/>
        </w:rPr>
        <w:t>The Supplier shall:</w:t>
      </w:r>
    </w:p>
    <w:p w14:paraId="505FA478" w14:textId="77777777" w:rsidR="0067224F" w:rsidRDefault="00067D49">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14:paraId="00355CED" w14:textId="77777777" w:rsidR="0067224F" w:rsidRDefault="00067D4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every </w:t>
      </w:r>
      <w:r>
        <w:rPr>
          <w:rFonts w:ascii="Arial" w:eastAsia="Arial" w:hAnsi="Arial" w:cs="Arial"/>
          <w:color w:val="000000"/>
          <w:sz w:val="24"/>
          <w:szCs w:val="24"/>
          <w:highlight w:val="yellow"/>
        </w:rPr>
        <w:t>[six (6) months]</w:t>
      </w:r>
      <w:r>
        <w:rPr>
          <w:rFonts w:ascii="Arial" w:eastAsia="Arial" w:hAnsi="Arial" w:cs="Arial"/>
          <w:color w:val="000000"/>
          <w:sz w:val="24"/>
          <w:szCs w:val="24"/>
        </w:rPr>
        <w:t xml:space="preserve"> throughout the Contract Period; and</w:t>
      </w:r>
    </w:p>
    <w:p w14:paraId="1A3A8E99" w14:textId="77777777" w:rsidR="0067224F" w:rsidRDefault="00067D4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3" w:name="_heading=h.lnxbz9" w:colFirst="0" w:colLast="0"/>
      <w:bookmarkEnd w:id="13"/>
      <w:r>
        <w:rPr>
          <w:rFonts w:ascii="Arial" w:eastAsia="Arial" w:hAnsi="Arial" w:cs="Arial"/>
          <w:color w:val="000000"/>
          <w:sz w:val="24"/>
          <w:szCs w:val="24"/>
        </w:rPr>
        <w:t>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xml:space="preserve">] after a request from the Buyer for an up-to-date copy of the Exit Plan; </w:t>
      </w:r>
    </w:p>
    <w:p w14:paraId="537D3449" w14:textId="77777777" w:rsidR="0067224F" w:rsidRDefault="00067D4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as soon as reasonably possible following a Termination Assistance Notice, and in any event no later than [</w:t>
      </w:r>
      <w:r>
        <w:rPr>
          <w:rFonts w:ascii="Arial" w:eastAsia="Arial" w:hAnsi="Arial" w:cs="Arial"/>
          <w:color w:val="000000"/>
          <w:sz w:val="24"/>
          <w:szCs w:val="24"/>
          <w:highlight w:val="yellow"/>
        </w:rPr>
        <w:t>ten (10) Working Days]</w:t>
      </w:r>
      <w:r>
        <w:rPr>
          <w:rFonts w:ascii="Arial" w:eastAsia="Arial" w:hAnsi="Arial" w:cs="Arial"/>
          <w:color w:val="000000"/>
          <w:sz w:val="24"/>
          <w:szCs w:val="24"/>
        </w:rPr>
        <w:t xml:space="preserve"> after the date of the Termination Assistance Notice;</w:t>
      </w:r>
    </w:p>
    <w:p w14:paraId="054BBF47" w14:textId="77777777" w:rsidR="0067224F" w:rsidRDefault="00067D4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as soon as reasonably possible following, and in any event 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xml:space="preserve">] following, any material change to the Deliverables (including all changes under the Variation Procedure); and  </w:t>
      </w:r>
    </w:p>
    <w:p w14:paraId="45F5BBEB"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jointly review and verify the Exit Plan if required by the Buyer and promptly correct any identified failures.</w:t>
      </w:r>
    </w:p>
    <w:p w14:paraId="7F36F7E4"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14:paraId="7AD0D7A4"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version of an Exit Plan agreed between the parties shall not be superseded by any draft submitted by the Supplier.</w:t>
      </w:r>
    </w:p>
    <w:p w14:paraId="38EDAB7C" w14:textId="77777777" w:rsidR="0067224F"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Termination Assistance </w:t>
      </w:r>
    </w:p>
    <w:p w14:paraId="10D88619"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4" w:name="_heading=h.35nkun2" w:colFirst="0" w:colLast="0"/>
      <w:bookmarkEnd w:id="14"/>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14:paraId="5D9D1C96"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14:paraId="6F5E8679"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start date and period during which it is anticipated that Termination Assistance will be required, which shall continue no longer than twelve (12) Months after the date that the Supplier ceases to provide the Deliverables.</w:t>
      </w:r>
    </w:p>
    <w:p w14:paraId="1859C3F3"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5" w:name="_heading=h.1ksv4uv" w:colFirst="0" w:colLast="0"/>
      <w:bookmarkEnd w:id="15"/>
      <w:r>
        <w:rPr>
          <w:rFonts w:ascii="Arial" w:eastAsia="Arial" w:hAnsi="Arial" w:cs="Arial"/>
          <w:color w:val="000000"/>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p>
    <w:p w14:paraId="46BEFBA5"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14:paraId="27C8D5E4" w14:textId="77777777" w:rsidR="0067224F" w:rsidRDefault="00067D49">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Termination Assistance Period </w:t>
      </w:r>
    </w:p>
    <w:p w14:paraId="5EC24359" w14:textId="77777777" w:rsidR="0067224F" w:rsidRDefault="00067D49">
      <w:pPr>
        <w:keepNext/>
        <w:keepLines/>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Throughout the Termination Assistance Period the Supplier shall:</w:t>
      </w:r>
    </w:p>
    <w:p w14:paraId="5D9E9E06"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14:paraId="29212D37"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6" w:name="_heading=h.44sinio" w:colFirst="0" w:colLast="0"/>
      <w:bookmarkEnd w:id="16"/>
      <w:r>
        <w:rPr>
          <w:rFonts w:ascii="Arial" w:eastAsia="Arial" w:hAnsi="Arial" w:cs="Arial"/>
          <w:color w:val="000000"/>
          <w:sz w:val="24"/>
          <w:szCs w:val="24"/>
        </w:rPr>
        <w:t xml:space="preserve">provide to the Buyer and/or its Replacement Supplier any reasonable assistance and/or access requested by the Buyer and/or its Replacement Supplier including assistance and/or access to facilitate the orderly transfer of </w:t>
      </w:r>
      <w:r>
        <w:rPr>
          <w:rFonts w:ascii="Arial" w:eastAsia="Arial" w:hAnsi="Arial" w:cs="Arial"/>
          <w:color w:val="000000"/>
          <w:sz w:val="24"/>
          <w:szCs w:val="24"/>
        </w:rPr>
        <w:lastRenderedPageBreak/>
        <w:t>responsibility for and conduct of the Deliverables to the Buyer and/or its Replacement Supplier;</w:t>
      </w:r>
    </w:p>
    <w:p w14:paraId="78D05312"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7" w:name="_heading=h.2jxsxqh" w:colFirst="0" w:colLast="0"/>
      <w:bookmarkEnd w:id="17"/>
      <w:r>
        <w:rPr>
          <w:rFonts w:ascii="Arial" w:eastAsia="Arial" w:hAnsi="Arial" w:cs="Arial"/>
          <w:color w:val="000000"/>
          <w:sz w:val="24"/>
          <w:szCs w:val="24"/>
        </w:rPr>
        <w:t>use all reasonable endeavours to reallocate resources to provide such assistance without additional costs to the Buyer;</w:t>
      </w:r>
    </w:p>
    <w:p w14:paraId="6B0FCD4D"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8" w:name="_heading=h.z337ya" w:colFirst="0" w:colLast="0"/>
      <w:bookmarkEnd w:id="18"/>
      <w:r>
        <w:rPr>
          <w:rFonts w:ascii="Arial" w:eastAsia="Arial" w:hAnsi="Arial" w:cs="Arial"/>
          <w:color w:val="000000"/>
          <w:sz w:val="24"/>
          <w:szCs w:val="24"/>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14:paraId="5843F53D"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9" w:name="_heading=h.3j2qqm3" w:colFirst="0" w:colLast="0"/>
      <w:bookmarkEnd w:id="19"/>
      <w:r>
        <w:rPr>
          <w:rFonts w:ascii="Arial" w:eastAsia="Arial" w:hAnsi="Arial" w:cs="Arial"/>
          <w:color w:val="000000"/>
          <w:sz w:val="24"/>
          <w:szCs w:val="24"/>
        </w:rPr>
        <w:t>at the Buyer's request and on reasonable notice, deliver up-to-date Registers to the Buyer;</w:t>
      </w:r>
    </w:p>
    <w:p w14:paraId="4223FF26"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seek the Buyer's prior written consent to access any Buyer Premises from which the de-installation or removal of Supplier Assets is required.</w:t>
      </w:r>
    </w:p>
    <w:p w14:paraId="7A003469"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14:paraId="74E797A7"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0" w:name="_heading=h.1y810tw" w:colFirst="0" w:colLast="0"/>
      <w:bookmarkEnd w:id="20"/>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14:paraId="73B1D714" w14:textId="77777777" w:rsidR="0067224F"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Obligations when the contract is terminated  </w:t>
      </w:r>
    </w:p>
    <w:p w14:paraId="08950C63"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1" w:name="_heading=h.4i7ojhp" w:colFirst="0" w:colLast="0"/>
      <w:bookmarkEnd w:id="21"/>
      <w:r>
        <w:rPr>
          <w:rFonts w:ascii="Arial" w:eastAsia="Arial" w:hAnsi="Arial" w:cs="Arial"/>
          <w:color w:val="000000"/>
          <w:sz w:val="24"/>
          <w:szCs w:val="24"/>
        </w:rPr>
        <w:t>The Supplier shall comply with all of its obligations contained in the Exit Plan.</w:t>
      </w:r>
    </w:p>
    <w:p w14:paraId="5908D7A7" w14:textId="77777777"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2" w:name="_heading=h.2xcytpi" w:colFirst="0" w:colLast="0"/>
      <w:bookmarkEnd w:id="22"/>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14:paraId="43460985"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vacate any Buyer Premises;</w:t>
      </w:r>
    </w:p>
    <w:p w14:paraId="70E803B6"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0FE35980" w14:textId="77777777" w:rsidR="0067224F" w:rsidRDefault="00067D49">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3" w:name="_heading=h.1ci93xb" w:colFirst="0" w:colLast="0"/>
      <w:bookmarkEnd w:id="23"/>
      <w:r>
        <w:rPr>
          <w:rFonts w:ascii="Arial" w:eastAsia="Arial" w:hAnsi="Arial" w:cs="Arial"/>
          <w:color w:val="000000"/>
          <w:sz w:val="24"/>
          <w:szCs w:val="24"/>
        </w:rPr>
        <w:t>provide access during normal working hours to the Buyer and/or the Replacement Supplier for up to twelve (12) Months after expiry or termination to:</w:t>
      </w:r>
    </w:p>
    <w:p w14:paraId="1FED4B0F" w14:textId="77777777" w:rsidR="0067224F" w:rsidRDefault="00067D4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information relating to the Deliverables as remains in the possession or control of the Supplier; and</w:t>
      </w:r>
    </w:p>
    <w:p w14:paraId="6D6543D5" w14:textId="77777777" w:rsidR="0067224F" w:rsidRDefault="00067D4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4" w:name="_heading=h.3whwml4" w:colFirst="0" w:colLast="0"/>
      <w:bookmarkEnd w:id="24"/>
      <w:r>
        <w:rPr>
          <w:rFonts w:ascii="Arial" w:eastAsia="Arial" w:hAnsi="Arial" w:cs="Arial"/>
          <w:color w:val="000000"/>
          <w:sz w:val="24"/>
          <w:szCs w:val="24"/>
        </w:rPr>
        <w:t xml:space="preserve">such members of the Supplier Staff as have been involved in the design, development and provision of </w:t>
      </w:r>
      <w:r>
        <w:rPr>
          <w:rFonts w:ascii="Arial" w:eastAsia="Arial" w:hAnsi="Arial" w:cs="Arial"/>
          <w:color w:val="000000"/>
          <w:sz w:val="24"/>
          <w:szCs w:val="24"/>
        </w:rPr>
        <w:lastRenderedPageBreak/>
        <w:t>the Deliverables and who are still employed by the Supplier, provided that the Buyer and/or the Replacement Supplier shall pay the reasonable costs of the Supplier actually incurred in responding to such requests for access.</w:t>
      </w:r>
    </w:p>
    <w:p w14:paraId="60E823DC"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5" w:name="_heading=h.2bn6wsx" w:colFirst="0" w:colLast="0"/>
      <w:bookmarkEnd w:id="25"/>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14:paraId="44B494E6" w14:textId="77777777" w:rsidR="0067224F"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Assets, Sub-contracts and Software</w:t>
      </w:r>
    </w:p>
    <w:p w14:paraId="5EC11D8F" w14:textId="77777777"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6" w:name="_heading=h.qsh70q" w:colFirst="0" w:colLast="0"/>
      <w:bookmarkEnd w:id="26"/>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14:paraId="3197E745"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or</w:t>
      </w:r>
    </w:p>
    <w:p w14:paraId="2B900042"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(subject to normal maintenance requirements) make material modifications to, or dispose of, any existing Supplier Assets or acquire any new Supplier Assets.</w:t>
      </w:r>
    </w:p>
    <w:p w14:paraId="4E66B4AC" w14:textId="77777777"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7" w:name="_heading=h.3as4poj" w:colFirst="0" w:colLast="0"/>
      <w:bookmarkEnd w:id="27"/>
      <w:r>
        <w:rPr>
          <w:rFonts w:ascii="Arial" w:eastAsia="Arial" w:hAnsi="Arial" w:cs="Arial"/>
          <w:color w:val="000000"/>
          <w:sz w:val="24"/>
          <w:szCs w:val="24"/>
        </w:rPr>
        <w:t>Within twenty (20) Working Days of receipt of the up-to-date Registers provided by the Supplier, the Buyer shall notify the Supplier setting out:</w:t>
      </w:r>
    </w:p>
    <w:p w14:paraId="552E1C60"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8" w:name="_heading=h.1pxezwc" w:colFirst="0" w:colLast="0"/>
      <w:bookmarkEnd w:id="28"/>
      <w:r>
        <w:rPr>
          <w:rFonts w:ascii="Arial" w:eastAsia="Arial" w:hAnsi="Arial" w:cs="Arial"/>
          <w:color w:val="000000"/>
          <w:sz w:val="24"/>
          <w:szCs w:val="24"/>
        </w:rPr>
        <w:t>which,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14:paraId="65036C4F" w14:textId="77777777" w:rsidR="0067224F" w:rsidRDefault="00067D49">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9" w:name="bookmark=id.49x2ik5" w:colFirst="0" w:colLast="0"/>
      <w:bookmarkStart w:id="30" w:name="_heading=h.2p2csry" w:colFirst="0" w:colLast="0"/>
      <w:bookmarkEnd w:id="29"/>
      <w:bookmarkEnd w:id="30"/>
      <w:r>
        <w:rPr>
          <w:rFonts w:ascii="Arial" w:eastAsia="Arial" w:hAnsi="Arial" w:cs="Arial"/>
          <w:color w:val="000000"/>
          <w:sz w:val="24"/>
          <w:szCs w:val="24"/>
        </w:rPr>
        <w:t>which, if any, of:</w:t>
      </w:r>
    </w:p>
    <w:p w14:paraId="4F5EFFF2" w14:textId="77777777" w:rsidR="0067224F" w:rsidRDefault="00067D4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14:paraId="0A8DBA50" w14:textId="77777777" w:rsidR="0067224F" w:rsidRDefault="00067D4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14:paraId="7A3148E7" w14:textId="77777777" w:rsidR="0067224F" w:rsidRDefault="00067D49">
      <w:pPr>
        <w:pBdr>
          <w:top w:val="nil"/>
          <w:left w:val="nil"/>
          <w:bottom w:val="nil"/>
          <w:right w:val="nil"/>
          <w:between w:val="nil"/>
        </w:pBdr>
        <w:tabs>
          <w:tab w:val="left" w:pos="2127"/>
        </w:tabs>
        <w:spacing w:before="120" w:after="120" w:line="240" w:lineRule="auto"/>
        <w:ind w:left="1656" w:hanging="2127"/>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14:paraId="4FC6CED0"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1" w:name="_heading=h.147n2zr" w:colFirst="0" w:colLast="0"/>
      <w:bookmarkEnd w:id="31"/>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14:paraId="18F8D602" w14:textId="77777777" w:rsidR="0067224F" w:rsidRDefault="00067D49">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r>
        <w:rPr>
          <w:rFonts w:ascii="Arial" w:eastAsia="Arial" w:hAnsi="Arial" w:cs="Arial"/>
          <w:color w:val="000000"/>
          <w:sz w:val="24"/>
          <w:szCs w:val="24"/>
        </w:rPr>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1D36D967"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2" w:name="_heading=h.3o7alnk" w:colFirst="0" w:colLast="0"/>
      <w:bookmarkEnd w:id="32"/>
      <w:r>
        <w:rPr>
          <w:rFonts w:ascii="Arial" w:eastAsia="Arial" w:hAnsi="Arial" w:cs="Arial"/>
          <w:color w:val="000000"/>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p w14:paraId="5C3F139E"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Risk in the Transferring Assets shall pass to the Buyer or the Replacement Supplier (as appropriate) at the end of the Termination Assistance Period and title shall pass on payment for them.</w:t>
      </w:r>
    </w:p>
    <w:p w14:paraId="7AE06E02" w14:textId="77777777"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3" w:name="_heading=h.23ckvvd" w:colFirst="0" w:colLast="0"/>
      <w:bookmarkEnd w:id="33"/>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shall as soon as reasonably practicable:</w:t>
      </w:r>
    </w:p>
    <w:p w14:paraId="0EE94C39"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14:paraId="271DE62C"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suitable alternative to such assets, the Buyer or the Replacement Supplier to bear the reasonable proven costs of procuring the same.</w:t>
      </w:r>
    </w:p>
    <w:p w14:paraId="4113FA0E"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4" w:name="_heading=h.ihv636" w:colFirst="0" w:colLast="0"/>
      <w:bookmarkEnd w:id="34"/>
      <w:r>
        <w:rPr>
          <w:rFonts w:ascii="Arial" w:eastAsia="Arial" w:hAnsi="Arial" w:cs="Arial"/>
          <w:color w:val="000000"/>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14:paraId="366CBD48" w14:textId="77777777"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32hioqz" w:colFirst="0" w:colLast="0"/>
      <w:bookmarkEnd w:id="35"/>
      <w:r>
        <w:rPr>
          <w:rFonts w:ascii="Arial" w:eastAsia="Arial" w:hAnsi="Arial" w:cs="Arial"/>
          <w:color w:val="000000"/>
          <w:sz w:val="24"/>
          <w:szCs w:val="24"/>
        </w:rPr>
        <w:t>The Buyer shall:</w:t>
      </w:r>
    </w:p>
    <w:p w14:paraId="04A656F7"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Transferring Contract; and</w:t>
      </w:r>
    </w:p>
    <w:p w14:paraId="7C62F31B"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14:paraId="7B15478B"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14:paraId="7A669FB2"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1hmsyys" w:colFirst="0" w:colLast="0"/>
      <w:bookmarkEnd w:id="36"/>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14:paraId="4E0967C6" w14:textId="77777777" w:rsidR="0067224F"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7" w:name="_heading=h.41mghml" w:colFirst="0" w:colLast="0"/>
      <w:bookmarkEnd w:id="37"/>
      <w:r>
        <w:rPr>
          <w:rFonts w:ascii="Arial" w:eastAsia="Arial" w:hAnsi="Arial" w:cs="Arial"/>
          <w:b/>
          <w:smallCaps/>
          <w:color w:val="000000"/>
          <w:sz w:val="24"/>
          <w:szCs w:val="24"/>
        </w:rPr>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14:paraId="59DEF75C"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14:paraId="59C47BDB" w14:textId="77777777" w:rsidR="0067224F"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lastRenderedPageBreak/>
        <w:t>D</w:t>
      </w:r>
      <w:r>
        <w:rPr>
          <w:rFonts w:ascii="Arial Bold" w:eastAsia="Arial Bold" w:hAnsi="Arial Bold" w:cs="Arial Bold"/>
          <w:b/>
          <w:color w:val="000000"/>
          <w:sz w:val="24"/>
          <w:szCs w:val="24"/>
        </w:rPr>
        <w:t xml:space="preserve">ividing the bills </w:t>
      </w:r>
    </w:p>
    <w:p w14:paraId="61D06EED" w14:textId="77777777"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8" w:name="_heading=h.2grqrue" w:colFirst="0" w:colLast="0"/>
      <w:bookmarkEnd w:id="38"/>
      <w:r>
        <w:rPr>
          <w:rFonts w:ascii="Arial" w:eastAsia="Arial" w:hAnsi="Arial" w:cs="Arial"/>
          <w:color w:val="000000"/>
          <w:sz w:val="24"/>
          <w:szCs w:val="24"/>
        </w:rPr>
        <w:t>All outgoings, expenses, rents, royalties and other periodical payments receivable in respect of the Transferring Assets and Transferring Contracts shall be apportioned between the Buyer and/or the Replacement and the Supplier as follows:</w:t>
      </w:r>
    </w:p>
    <w:p w14:paraId="143C694B"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14:paraId="6CA02B00"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579E8726"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be responsible for or entitled to (as the case may be) the rest of the invoice.</w:t>
      </w:r>
    </w:p>
    <w:p w14:paraId="77B3A939" w14:textId="77777777" w:rsidR="0067224F" w:rsidRDefault="0067224F">
      <w:pPr>
        <w:rPr>
          <w:rFonts w:ascii="Arial" w:eastAsia="Arial" w:hAnsi="Arial" w:cs="Arial"/>
          <w:sz w:val="24"/>
          <w:szCs w:val="24"/>
        </w:rPr>
      </w:pPr>
    </w:p>
    <w:p w14:paraId="426FE98A" w14:textId="77777777" w:rsidR="0067224F" w:rsidRDefault="0067224F">
      <w:pPr>
        <w:rPr>
          <w:rFonts w:ascii="Arial" w:eastAsia="Arial" w:hAnsi="Arial" w:cs="Arial"/>
          <w:sz w:val="24"/>
          <w:szCs w:val="24"/>
        </w:rPr>
      </w:pPr>
    </w:p>
    <w:sectPr w:rsidR="0067224F">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7A367" w14:textId="77777777" w:rsidR="00067D49" w:rsidRDefault="00067D49">
      <w:pPr>
        <w:spacing w:after="0" w:line="240" w:lineRule="auto"/>
      </w:pPr>
      <w:r>
        <w:separator/>
      </w:r>
    </w:p>
  </w:endnote>
  <w:endnote w:type="continuationSeparator" w:id="0">
    <w:p w14:paraId="2B0EF4A7" w14:textId="77777777" w:rsidR="00067D49" w:rsidRDefault="00067D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00000003" w:usb1="00000000" w:usb2="00000000" w:usb3="00000000" w:csb0="00000001" w:csb1="00000000"/>
  </w:font>
  <w:font w:name="Times New Roman Bold">
    <w:panose1 w:val="02020803070505020304"/>
    <w:charset w:val="00"/>
    <w:family w:val="auto"/>
    <w:pitch w:val="variable"/>
    <w:sig w:usb0="00000003" w:usb1="00000000" w:usb2="00000000" w:usb3="00000000" w:csb0="00000001" w:csb1="00000000"/>
  </w:font>
  <w:font w:name="Georgia">
    <w:panose1 w:val="020405020504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B8D73" w14:textId="77777777" w:rsidR="0067224F" w:rsidRDefault="0067224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4DCE597B" w14:textId="77777777" w:rsidR="0067224F" w:rsidRDefault="00067D49">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Mid-Tier Contract</w:t>
    </w:r>
    <w:r>
      <w:rPr>
        <w:rFonts w:ascii="Arial" w:eastAsia="Arial" w:hAnsi="Arial" w:cs="Arial"/>
        <w:color w:val="BFBFBF"/>
        <w:sz w:val="20"/>
        <w:szCs w:val="20"/>
      </w:rPr>
      <w:tab/>
      <w:t xml:space="preserve">                                           </w:t>
    </w:r>
  </w:p>
  <w:p w14:paraId="004BA252" w14:textId="77777777" w:rsidR="0067224F" w:rsidRDefault="00067D49">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6618DF">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709EE712" w14:textId="77777777" w:rsidR="0067224F" w:rsidRDefault="00067D4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BFBFBF"/>
        <w:sz w:val="20"/>
        <w:szCs w:val="20"/>
      </w:rPr>
      <w:t>Model Version: v1.0</w:t>
    </w:r>
  </w:p>
  <w:p w14:paraId="1B13A217" w14:textId="77777777" w:rsidR="0067224F" w:rsidRDefault="0067224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39" w:name="bookmark=id.vx1227" w:colFirst="0" w:colLast="0"/>
    <w:bookmarkEnd w:id="39"/>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171C0" w14:textId="77777777" w:rsidR="0067224F" w:rsidRDefault="0067224F">
    <w:pPr>
      <w:tabs>
        <w:tab w:val="center" w:pos="4513"/>
        <w:tab w:val="right" w:pos="9026"/>
      </w:tabs>
      <w:spacing w:after="0"/>
      <w:rPr>
        <w:rFonts w:ascii="Arial" w:eastAsia="Arial" w:hAnsi="Arial" w:cs="Arial"/>
        <w:color w:val="A6A6A6"/>
        <w:sz w:val="20"/>
        <w:szCs w:val="20"/>
      </w:rPr>
    </w:pPr>
  </w:p>
  <w:p w14:paraId="7EC5C0F7" w14:textId="77777777" w:rsidR="0067224F" w:rsidRDefault="00067D49">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0388CB6E" w14:textId="77777777" w:rsidR="0067224F" w:rsidRDefault="00067D49">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31F0ECA4" w14:textId="77777777" w:rsidR="0067224F" w:rsidRDefault="00067D49">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Model Version :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F3A75" w14:textId="77777777" w:rsidR="00067D49" w:rsidRDefault="00067D49">
      <w:pPr>
        <w:spacing w:after="0" w:line="240" w:lineRule="auto"/>
      </w:pPr>
      <w:r>
        <w:separator/>
      </w:r>
    </w:p>
  </w:footnote>
  <w:footnote w:type="continuationSeparator" w:id="0">
    <w:p w14:paraId="030C25B3" w14:textId="77777777" w:rsidR="00067D49" w:rsidRDefault="00067D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AF525" w14:textId="77777777" w:rsidR="0067224F" w:rsidRDefault="00067D4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Schedule 30 (Exit Management)</w:t>
    </w:r>
  </w:p>
  <w:p w14:paraId="431B7544" w14:textId="77777777" w:rsidR="0067224F" w:rsidRDefault="00067D4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 Crown Copyright</w:t>
    </w:r>
    <w:r>
      <w:rPr>
        <w:rFonts w:ascii="Arial" w:eastAsia="Arial" w:hAnsi="Arial" w:cs="Arial"/>
        <w:color w:val="000000"/>
        <w:sz w:val="14"/>
        <w:szCs w:val="14"/>
      </w:rPr>
      <w:t xml:space="preserve"> </w:t>
    </w:r>
    <w:r>
      <w:rPr>
        <w:rFonts w:ascii="Arial" w:eastAsia="Arial" w:hAnsi="Arial" w:cs="Arial"/>
        <w:color w:val="000000"/>
        <w:sz w:val="20"/>
        <w:szCs w:val="20"/>
      </w:rPr>
      <w:t>2019</w:t>
    </w:r>
  </w:p>
  <w:p w14:paraId="0F6E900B" w14:textId="77777777" w:rsidR="0067224F" w:rsidRDefault="0067224F">
    <w:pPr>
      <w:pBdr>
        <w:top w:val="nil"/>
        <w:left w:val="nil"/>
        <w:bottom w:val="nil"/>
        <w:right w:val="nil"/>
        <w:between w:val="nil"/>
      </w:pBdr>
      <w:tabs>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A9390B"/>
    <w:multiLevelType w:val="multilevel"/>
    <w:tmpl w:val="2836F57C"/>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1" w15:restartNumberingAfterBreak="0">
    <w:nsid w:val="3E3A68B6"/>
    <w:multiLevelType w:val="multilevel"/>
    <w:tmpl w:val="DB4A3074"/>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6964739C"/>
    <w:multiLevelType w:val="multilevel"/>
    <w:tmpl w:val="0F78D756"/>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224F"/>
    <w:rsid w:val="00067D49"/>
    <w:rsid w:val="005C70D1"/>
    <w:rsid w:val="006618DF"/>
    <w:rsid w:val="006722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1EE48"/>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ACKfdta8xtOtt99pIp/VktB6mXw==">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2830</Words>
  <Characters>16136</Characters>
  <Application>Microsoft Office Word</Application>
  <DocSecurity>0</DocSecurity>
  <Lines>134</Lines>
  <Paragraphs>37</Paragraphs>
  <ScaleCrop>false</ScaleCrop>
  <Company/>
  <LinksUpToDate>false</LinksUpToDate>
  <CharactersWithSpaces>18929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David Cronin</cp:lastModifiedBy>
  <cp:revision>3</cp:revision>
  <dcterms:created xsi:type="dcterms:W3CDTF">2019-11-04T11:17:00Z</dcterms:created>
  <dcterms:modified xsi:type="dcterms:W3CDTF">2022-04-04T16:56:00Z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